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018"/>
        <w:gridCol w:w="5018"/>
      </w:tblGrid>
      <w:tr w:rsidR="009828A0" w14:paraId="34BA02B5" w14:textId="77777777">
        <w:tc>
          <w:tcPr>
            <w:tcW w:w="5018" w:type="dxa"/>
            <w:shd w:val="clear" w:color="auto" w:fill="211A52"/>
            <w:tcMar>
              <w:top w:w="140" w:type="dxa"/>
              <w:left w:w="200" w:type="dxa"/>
              <w:bottom w:w="140" w:type="dxa"/>
              <w:right w:w="200" w:type="dxa"/>
            </w:tcMar>
            <w:vAlign w:val="center"/>
          </w:tcPr>
          <w:p w14:paraId="2FCF4790" w14:textId="77777777" w:rsidR="009828A0" w:rsidRDefault="00E67449">
            <w:pPr>
              <w:spacing w:after="140"/>
            </w:pPr>
            <w:r>
              <w:rPr>
                <w:b/>
                <w:color w:val="C8C3F1"/>
                <w:sz w:val="17"/>
              </w:rPr>
              <w:t>WORKSHOP-CASE 01  |  18 MINUTTER</w:t>
            </w:r>
          </w:p>
          <w:p w14:paraId="3DF92200" w14:textId="77777777" w:rsidR="009828A0" w:rsidRDefault="00E67449">
            <w:pPr>
              <w:spacing w:after="80"/>
            </w:pPr>
            <w:r>
              <w:rPr>
                <w:b/>
                <w:color w:val="FFFFFF"/>
                <w:sz w:val="56"/>
              </w:rPr>
              <w:t>ACETONE</w:t>
            </w:r>
          </w:p>
          <w:p w14:paraId="199A26CE" w14:textId="77777777" w:rsidR="009828A0" w:rsidRDefault="00E67449">
            <w:pPr>
              <w:spacing w:after="120"/>
            </w:pPr>
            <w:r>
              <w:rPr>
                <w:b/>
                <w:color w:val="FFFFFF"/>
                <w:sz w:val="26"/>
              </w:rPr>
              <w:t>Manuel affedtning af metaldele</w:t>
            </w:r>
          </w:p>
        </w:tc>
        <w:tc>
          <w:tcPr>
            <w:tcW w:w="5018" w:type="dxa"/>
            <w:shd w:val="clear" w:color="auto" w:fill="211A52"/>
            <w:tcMar>
              <w:top w:w="140" w:type="dxa"/>
              <w:left w:w="200" w:type="dxa"/>
              <w:bottom w:w="140" w:type="dxa"/>
              <w:right w:w="200" w:type="dxa"/>
            </w:tcMar>
            <w:vAlign w:val="center"/>
          </w:tcPr>
          <w:p w14:paraId="49CF6748" w14:textId="77777777" w:rsidR="009828A0" w:rsidRDefault="00E67449">
            <w:pPr>
              <w:jc w:val="center"/>
            </w:pPr>
            <w:r>
              <w:rPr>
                <w:noProof/>
              </w:rPr>
              <w:drawing>
                <wp:inline distT="0" distB="0" distL="0" distR="0" wp14:anchorId="78BD1277" wp14:editId="087A63DB">
                  <wp:extent cx="1188000" cy="92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_Acetone.png"/>
                          <pic:cNvPicPr/>
                        </pic:nvPicPr>
                        <pic:blipFill>
                          <a:blip r:embed="rId8"/>
                          <a:stretch>
                            <a:fillRect/>
                          </a:stretch>
                        </pic:blipFill>
                        <pic:spPr>
                          <a:xfrm>
                            <a:off x="0" y="0"/>
                            <a:ext cx="1188000" cy="920700"/>
                          </a:xfrm>
                          <a:prstGeom prst="rect">
                            <a:avLst/>
                          </a:prstGeom>
                        </pic:spPr>
                      </pic:pic>
                    </a:graphicData>
                  </a:graphic>
                </wp:inline>
              </w:drawing>
            </w:r>
          </w:p>
        </w:tc>
      </w:tr>
    </w:tbl>
    <w:p w14:paraId="5F06B384" w14:textId="77777777" w:rsidR="009828A0" w:rsidRDefault="009828A0">
      <w:pPr>
        <w:spacing w:after="0" w:line="280" w:lineRule="exact"/>
      </w:pPr>
    </w:p>
    <w:p w14:paraId="1F21C006" w14:textId="77777777" w:rsidR="009828A0" w:rsidRPr="00426412" w:rsidRDefault="00E67449">
      <w:pPr>
        <w:keepNext/>
        <w:spacing w:before="100" w:after="220"/>
        <w:rPr>
          <w:lang w:val="da-DK"/>
        </w:rPr>
      </w:pPr>
      <w:r w:rsidRPr="00426412">
        <w:rPr>
          <w:b/>
          <w:color w:val="211A52"/>
          <w:sz w:val="24"/>
          <w:lang w:val="da-DK"/>
        </w:rPr>
        <w:t>Sådan starter du</w:t>
      </w:r>
    </w:p>
    <w:p w14:paraId="6CD05D53" w14:textId="77777777" w:rsidR="009828A0" w:rsidRPr="00426412" w:rsidRDefault="00E67449">
      <w:pPr>
        <w:keepNext/>
        <w:spacing w:after="180" w:line="276" w:lineRule="auto"/>
        <w:rPr>
          <w:lang w:val="da-DK"/>
        </w:rPr>
      </w:pPr>
      <w:r w:rsidRPr="00426412">
        <w:rPr>
          <w:color w:val="211A52"/>
          <w:sz w:val="20"/>
          <w:lang w:val="da-DK"/>
        </w:rPr>
        <w:t>1. Upload KBA for acetone i en ny samtale med agenten. Besvar de indledende spørgsmål med egne testoplysninger.</w:t>
      </w:r>
    </w:p>
    <w:p w14:paraId="10992D5F" w14:textId="77777777" w:rsidR="009828A0" w:rsidRPr="00426412" w:rsidRDefault="00E67449">
      <w:pPr>
        <w:keepNext/>
        <w:spacing w:after="180" w:line="276" w:lineRule="auto"/>
        <w:rPr>
          <w:lang w:val="da-DK"/>
        </w:rPr>
      </w:pPr>
      <w:r w:rsidRPr="00426412">
        <w:rPr>
          <w:color w:val="211A52"/>
          <w:sz w:val="20"/>
          <w:lang w:val="da-DK"/>
        </w:rPr>
        <w:t>2. Når agenten spørger om substitution, kopiér hele teksten i det første felt.</w:t>
      </w:r>
    </w:p>
    <w:p w14:paraId="5F6E3E7F" w14:textId="77777777" w:rsidR="009828A0" w:rsidRPr="00426412" w:rsidRDefault="00E67449">
      <w:pPr>
        <w:keepNext/>
        <w:spacing w:after="180" w:line="276" w:lineRule="auto"/>
        <w:rPr>
          <w:lang w:val="da-DK"/>
        </w:rPr>
      </w:pPr>
      <w:r w:rsidRPr="00426412">
        <w:rPr>
          <w:color w:val="211A52"/>
          <w:sz w:val="20"/>
          <w:lang w:val="da-DK"/>
        </w:rPr>
        <w:t>3. Når agenten spørger om arbejdsprocessen, kopiér hele teksten i det andet felt.</w:t>
      </w:r>
    </w:p>
    <w:p w14:paraId="236075B1" w14:textId="77777777" w:rsidR="009828A0" w:rsidRPr="00426412" w:rsidRDefault="00E67449">
      <w:pPr>
        <w:keepNext/>
        <w:spacing w:before="60" w:after="320" w:line="269" w:lineRule="auto"/>
        <w:rPr>
          <w:lang w:val="da-DK"/>
        </w:rPr>
      </w:pPr>
      <w:r w:rsidRPr="00426412">
        <w:rPr>
          <w:color w:val="54616E"/>
          <w:sz w:val="18"/>
          <w:lang w:val="da-DK"/>
        </w:rPr>
        <w:t>Kopiér kun brødteksten, ikke feltoverskrifterne. Den samlede arbejdsbeskrivelse indsættes én gang.</w:t>
      </w:r>
    </w:p>
    <w:tbl>
      <w:tblPr>
        <w:tblW w:w="0" w:type="auto"/>
        <w:tblLayout w:type="fixed"/>
        <w:tblLook w:val="04A0" w:firstRow="1" w:lastRow="0" w:firstColumn="1" w:lastColumn="0" w:noHBand="0" w:noVBand="1"/>
      </w:tblPr>
      <w:tblGrid>
        <w:gridCol w:w="10036"/>
      </w:tblGrid>
      <w:tr w:rsidR="009828A0" w14:paraId="1EE5E897" w14:textId="77777777">
        <w:trPr>
          <w:cantSplit/>
        </w:trPr>
        <w:tc>
          <w:tcPr>
            <w:tcW w:w="10036" w:type="dxa"/>
            <w:shd w:val="clear" w:color="auto" w:fill="F1F0FA"/>
            <w:tcMar>
              <w:top w:w="190" w:type="dxa"/>
              <w:left w:w="190" w:type="dxa"/>
              <w:bottom w:w="190" w:type="dxa"/>
              <w:right w:w="190" w:type="dxa"/>
            </w:tcMar>
          </w:tcPr>
          <w:p w14:paraId="468FBBD3" w14:textId="77777777" w:rsidR="009828A0" w:rsidRPr="00426412" w:rsidRDefault="00E67449">
            <w:pPr>
              <w:spacing w:after="180" w:line="269" w:lineRule="auto"/>
              <w:rPr>
                <w:lang w:val="da-DK"/>
              </w:rPr>
            </w:pPr>
            <w:r w:rsidRPr="00426412">
              <w:rPr>
                <w:b/>
                <w:color w:val="594FBF"/>
                <w:sz w:val="18"/>
                <w:lang w:val="da-DK"/>
              </w:rPr>
              <w:t>KOPIÉR 1 AF 2  |  SUBSTITUTION</w:t>
            </w:r>
          </w:p>
          <w:p w14:paraId="13257428" w14:textId="77777777" w:rsidR="009828A0" w:rsidRDefault="00E67449">
            <w:pPr>
              <w:spacing w:after="0" w:line="269" w:lineRule="auto"/>
            </w:pPr>
            <w:r w:rsidRPr="00426412">
              <w:rPr>
                <w:color w:val="211A52"/>
                <w:sz w:val="21"/>
                <w:lang w:val="da-DK"/>
              </w:rPr>
              <w:t xml:space="preserve">Substitution er vurderet, men ikke mulig i denne opgave. Til den beskrevne arbejdsopgave er tør aftørring og et mindre farligt, vandbaseret affedtningsmiddel afprøvet. Tør aftørring fjerner ikke fedtet tilstrækkeligt, og det vandbaserede middel efterlader rester, som ikke opfylder kravet til rene metaloverflader. </w:t>
            </w:r>
            <w:r>
              <w:rPr>
                <w:color w:val="211A52"/>
                <w:sz w:val="21"/>
              </w:rPr>
              <w:t xml:space="preserve">Acetone </w:t>
            </w:r>
            <w:proofErr w:type="spellStart"/>
            <w:r>
              <w:rPr>
                <w:color w:val="211A52"/>
                <w:sz w:val="21"/>
              </w:rPr>
              <w:t>fastholdes</w:t>
            </w:r>
            <w:proofErr w:type="spellEnd"/>
            <w:r>
              <w:rPr>
                <w:color w:val="211A52"/>
                <w:sz w:val="21"/>
              </w:rPr>
              <w:t xml:space="preserve"> </w:t>
            </w:r>
            <w:proofErr w:type="spellStart"/>
            <w:r>
              <w:rPr>
                <w:color w:val="211A52"/>
                <w:sz w:val="21"/>
              </w:rPr>
              <w:t>derfor</w:t>
            </w:r>
            <w:proofErr w:type="spellEnd"/>
            <w:r>
              <w:rPr>
                <w:color w:val="211A52"/>
                <w:sz w:val="21"/>
              </w:rPr>
              <w:t>.</w:t>
            </w:r>
          </w:p>
        </w:tc>
      </w:tr>
    </w:tbl>
    <w:p w14:paraId="7518BC53" w14:textId="77777777" w:rsidR="009828A0" w:rsidRDefault="009828A0">
      <w:pPr>
        <w:spacing w:after="0" w:line="360" w:lineRule="exact"/>
      </w:pPr>
    </w:p>
    <w:tbl>
      <w:tblPr>
        <w:tblW w:w="0" w:type="auto"/>
        <w:tblLayout w:type="fixed"/>
        <w:tblLook w:val="04A0" w:firstRow="1" w:lastRow="0" w:firstColumn="1" w:lastColumn="0" w:noHBand="0" w:noVBand="1"/>
      </w:tblPr>
      <w:tblGrid>
        <w:gridCol w:w="10036"/>
      </w:tblGrid>
      <w:tr w:rsidR="009828A0" w:rsidRPr="0080028F" w14:paraId="302657B7" w14:textId="77777777">
        <w:trPr>
          <w:cantSplit/>
        </w:trPr>
        <w:tc>
          <w:tcPr>
            <w:tcW w:w="10036" w:type="dxa"/>
            <w:shd w:val="clear" w:color="auto" w:fill="F1F0FA"/>
            <w:tcMar>
              <w:top w:w="190" w:type="dxa"/>
              <w:left w:w="190" w:type="dxa"/>
              <w:bottom w:w="190" w:type="dxa"/>
              <w:right w:w="190" w:type="dxa"/>
            </w:tcMar>
          </w:tcPr>
          <w:p w14:paraId="50FDA354" w14:textId="77777777" w:rsidR="009828A0" w:rsidRPr="00426412" w:rsidRDefault="00E67449">
            <w:pPr>
              <w:spacing w:after="180" w:line="269" w:lineRule="auto"/>
              <w:rPr>
                <w:lang w:val="da-DK"/>
              </w:rPr>
            </w:pPr>
            <w:r w:rsidRPr="00426412">
              <w:rPr>
                <w:b/>
                <w:color w:val="594FBF"/>
                <w:sz w:val="18"/>
                <w:lang w:val="da-DK"/>
              </w:rPr>
              <w:t>KOPIÉR 2 AF 2  |  SAMLET ARBEJDSBESKRIVELSE</w:t>
            </w:r>
          </w:p>
          <w:p w14:paraId="24D0C237" w14:textId="77777777" w:rsidR="00426412" w:rsidRDefault="00426412" w:rsidP="00426412">
            <w:pPr>
              <w:spacing w:after="0" w:line="269" w:lineRule="auto"/>
              <w:rPr>
                <w:lang w:val="da-DK"/>
              </w:rPr>
            </w:pPr>
            <w:r w:rsidRPr="00426412">
              <w:rPr>
                <w:lang w:val="da-DK"/>
              </w:rPr>
              <w:t xml:space="preserve">Acetone anvendes til manuel affedtning af mindre metaldele ved et værkstedsbord. Der anvendes 10 ml pr. gang. Opgaven varer 15 minutter og udføres 2 gange ugentligt. </w:t>
            </w:r>
          </w:p>
          <w:p w14:paraId="56904BE9" w14:textId="77777777" w:rsidR="00426412" w:rsidRDefault="00426412" w:rsidP="00426412">
            <w:pPr>
              <w:spacing w:after="0" w:line="269" w:lineRule="auto"/>
              <w:rPr>
                <w:lang w:val="da-DK"/>
              </w:rPr>
            </w:pPr>
          </w:p>
          <w:p w14:paraId="2BA54E79" w14:textId="23990751" w:rsidR="00426412" w:rsidRDefault="00426412" w:rsidP="00426412">
            <w:pPr>
              <w:spacing w:after="0" w:line="269" w:lineRule="auto"/>
              <w:rPr>
                <w:lang w:val="da-DK"/>
              </w:rPr>
            </w:pPr>
            <w:r w:rsidRPr="00426412">
              <w:rPr>
                <w:lang w:val="da-DK"/>
              </w:rPr>
              <w:t xml:space="preserve">Acetone hældes fra originalemballagen i en mindre beholder og påføres en klud. Metaldelene aftørres og lægges til tørring. Kluden holdes i den tørre ende, og beholderne holdes lukkede mellem anvendelserne. </w:t>
            </w:r>
          </w:p>
          <w:p w14:paraId="4CD703B9" w14:textId="77777777" w:rsidR="00454462" w:rsidRPr="00426412" w:rsidRDefault="00454462" w:rsidP="00426412">
            <w:pPr>
              <w:spacing w:after="0" w:line="269" w:lineRule="auto"/>
              <w:rPr>
                <w:lang w:val="da-DK"/>
              </w:rPr>
            </w:pPr>
          </w:p>
          <w:p w14:paraId="7FC04AC0" w14:textId="1389AFE1" w:rsidR="00426412" w:rsidRDefault="00426412" w:rsidP="00426412">
            <w:pPr>
              <w:spacing w:after="0" w:line="269" w:lineRule="auto"/>
              <w:rPr>
                <w:lang w:val="da-DK"/>
              </w:rPr>
            </w:pPr>
            <w:r w:rsidRPr="00426412">
              <w:rPr>
                <w:lang w:val="da-DK"/>
              </w:rPr>
              <w:t xml:space="preserve">Arbejdet foregår i åbent system med mulighed for indånding af dampe, hudkontakt, stænk i øjnene og spild. Bordet har punktudsugning og rumventilation. Alle arbejdstrin, herunder tørring, foregår inden for punktudsugningens effektive arbejdsområde. Ventilationens tilstrækkelighed er dokumenteret for opgaven, og funktionen kontrolleres før start. Dannelse af eksplosiv atmosfære er fagligt vurderet som usandsynlig under de beskrevne </w:t>
            </w:r>
            <w:r w:rsidR="00246894" w:rsidRPr="00426412">
              <w:rPr>
                <w:lang w:val="da-DK"/>
              </w:rPr>
              <w:t>forhold</w:t>
            </w:r>
            <w:r w:rsidR="00246894">
              <w:rPr>
                <w:lang w:val="da-DK"/>
              </w:rPr>
              <w:t>,</w:t>
            </w:r>
            <w:r w:rsidR="00454462" w:rsidRPr="00426412">
              <w:rPr>
                <w:lang w:val="da-DK"/>
              </w:rPr>
              <w:t xml:space="preserve"> og der er ingen antændelseskilder.</w:t>
            </w:r>
          </w:p>
          <w:p w14:paraId="4DE59D2F" w14:textId="77777777" w:rsidR="00454462" w:rsidRPr="00426412" w:rsidRDefault="00454462" w:rsidP="00426412">
            <w:pPr>
              <w:spacing w:after="0" w:line="269" w:lineRule="auto"/>
              <w:rPr>
                <w:lang w:val="da-DK"/>
              </w:rPr>
            </w:pPr>
          </w:p>
          <w:p w14:paraId="25918053" w14:textId="61B8A5B4" w:rsidR="00426412" w:rsidRPr="00426412" w:rsidRDefault="00426412" w:rsidP="00426412">
            <w:pPr>
              <w:spacing w:after="0" w:line="269" w:lineRule="auto"/>
              <w:rPr>
                <w:lang w:val="da-DK"/>
              </w:rPr>
            </w:pPr>
            <w:r w:rsidRPr="00426412">
              <w:rPr>
                <w:lang w:val="da-DK"/>
              </w:rPr>
              <w:t>De personlige værnemidlers egnethed er dokumenteret for acetone og den konkrete arbejdsopgave, herunder handskernes beskyttelsestid og nødvendige finmotorik.</w:t>
            </w:r>
            <w:r w:rsidR="0080028F">
              <w:rPr>
                <w:lang w:val="da-DK"/>
              </w:rPr>
              <w:t xml:space="preserve"> Der anvendes </w:t>
            </w:r>
            <w:r w:rsidR="00B653BE">
              <w:rPr>
                <w:lang w:val="da-DK"/>
              </w:rPr>
              <w:t>kemikaliehandsker</w:t>
            </w:r>
            <w:r w:rsidR="0080028F">
              <w:rPr>
                <w:lang w:val="da-DK"/>
              </w:rPr>
              <w:t xml:space="preserve"> med en gennembrudstid på 20 minutter, de skiftes ved mistanke eller ved eksponering af acetone med det samme. </w:t>
            </w:r>
          </w:p>
          <w:p w14:paraId="2D6FAC00" w14:textId="3190BB53" w:rsidR="009828A0" w:rsidRPr="00426412" w:rsidRDefault="009828A0">
            <w:pPr>
              <w:spacing w:after="0" w:line="269" w:lineRule="auto"/>
              <w:rPr>
                <w:lang w:val="da-DK"/>
              </w:rPr>
            </w:pPr>
          </w:p>
        </w:tc>
      </w:tr>
    </w:tbl>
    <w:p w14:paraId="49FFC78B" w14:textId="77777777" w:rsidR="009828A0" w:rsidRPr="00426412" w:rsidRDefault="009828A0">
      <w:pPr>
        <w:spacing w:after="0" w:line="360" w:lineRule="exact"/>
        <w:rPr>
          <w:lang w:val="da-DK"/>
        </w:rPr>
      </w:pPr>
    </w:p>
    <w:sectPr w:rsidR="009828A0" w:rsidRPr="00426412" w:rsidSect="00034616">
      <w:headerReference w:type="default" r:id="rId9"/>
      <w:footerReference w:type="default" r:id="rId10"/>
      <w:pgSz w:w="11906" w:h="16838"/>
      <w:pgMar w:top="1162" w:right="935" w:bottom="1049" w:left="935" w:header="340"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679C4" w14:textId="77777777" w:rsidR="004D4E98" w:rsidRDefault="004D4E98">
      <w:pPr>
        <w:spacing w:after="0" w:line="240" w:lineRule="auto"/>
      </w:pPr>
      <w:r>
        <w:separator/>
      </w:r>
    </w:p>
  </w:endnote>
  <w:endnote w:type="continuationSeparator" w:id="0">
    <w:p w14:paraId="7F055D6D" w14:textId="77777777" w:rsidR="004D4E98" w:rsidRDefault="004D4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6C78" w14:textId="77777777" w:rsidR="009828A0" w:rsidRDefault="00E67449">
    <w:pPr>
      <w:pStyle w:val="Footer"/>
      <w:spacing w:line="250" w:lineRule="auto"/>
    </w:pPr>
    <w:r>
      <w:rPr>
        <w:b/>
        <w:color w:val="211A52"/>
        <w:sz w:val="16"/>
      </w:rPr>
      <w:t>Ann Cecilie Würtz  •  Jesper Søholm  •  Bjørn Baasch Bundgaard</w:t>
    </w:r>
  </w:p>
  <w:p w14:paraId="34E0F21D" w14:textId="77777777" w:rsidR="009828A0" w:rsidRPr="00426412" w:rsidRDefault="00E67449">
    <w:pPr>
      <w:spacing w:after="0"/>
      <w:rPr>
        <w:lang w:val="da-DK"/>
      </w:rPr>
    </w:pPr>
    <w:r w:rsidRPr="00426412">
      <w:rPr>
        <w:color w:val="54616E"/>
        <w:sz w:val="16"/>
        <w:lang w:val="da-DK"/>
      </w:rPr>
      <w:t>Aalborg Universitet  |  Fiktivt øvelsesmateriale, ikke til drift</w:t>
    </w:r>
  </w:p>
  <w:p w14:paraId="34B5170E" w14:textId="54D78B14" w:rsidR="009828A0" w:rsidRDefault="00E67449">
    <w:pPr>
      <w:spacing w:after="0"/>
    </w:pPr>
    <w:r>
      <w:rPr>
        <w:color w:val="54616E"/>
        <w:sz w:val="15"/>
      </w:rPr>
      <w:t xml:space="preserve">CASE 01  |  ACETONE  |  SIDE </w:t>
    </w:r>
    <w:r>
      <w:fldChar w:fldCharType="begin"/>
    </w:r>
    <w:r>
      <w:instrText>PAGE</w:instrText>
    </w:r>
    <w:r>
      <w:fldChar w:fldCharType="separate"/>
    </w:r>
    <w:r w:rsidR="004264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ABEFA" w14:textId="77777777" w:rsidR="004D4E98" w:rsidRDefault="004D4E98">
      <w:pPr>
        <w:spacing w:after="0" w:line="240" w:lineRule="auto"/>
      </w:pPr>
      <w:r>
        <w:separator/>
      </w:r>
    </w:p>
  </w:footnote>
  <w:footnote w:type="continuationSeparator" w:id="0">
    <w:p w14:paraId="01875FF7" w14:textId="77777777" w:rsidR="004D4E98" w:rsidRDefault="004D4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9423" w14:textId="77777777" w:rsidR="009828A0" w:rsidRDefault="009828A0">
    <w:pPr>
      <w:pStyle w:val="Header"/>
      <w:spacing w:line="20" w:lineRule="exact"/>
    </w:pPr>
  </w:p>
  <w:tbl>
    <w:tblPr>
      <w:tblW w:w="0" w:type="auto"/>
      <w:tblLayout w:type="fixed"/>
      <w:tblLook w:val="04A0" w:firstRow="1" w:lastRow="0" w:firstColumn="1" w:lastColumn="0" w:noHBand="0" w:noVBand="1"/>
    </w:tblPr>
    <w:tblGrid>
      <w:gridCol w:w="5017"/>
      <w:gridCol w:w="5017"/>
    </w:tblGrid>
    <w:tr w:rsidR="009828A0" w14:paraId="66BD7A5F" w14:textId="77777777">
      <w:tc>
        <w:tcPr>
          <w:tcW w:w="5017" w:type="dxa"/>
          <w:tcMar>
            <w:top w:w="0" w:type="dxa"/>
            <w:left w:w="0" w:type="dxa"/>
            <w:bottom w:w="0" w:type="dxa"/>
            <w:right w:w="0" w:type="dxa"/>
          </w:tcMar>
        </w:tcPr>
        <w:p w14:paraId="4BD7DC8E" w14:textId="77777777" w:rsidR="009828A0" w:rsidRDefault="00E67449">
          <w:r>
            <w:rPr>
              <w:noProof/>
            </w:rPr>
            <w:drawing>
              <wp:inline distT="0" distB="0" distL="0" distR="0" wp14:anchorId="5A558F84" wp14:editId="1F6F9552">
                <wp:extent cx="1530000" cy="382500"/>
                <wp:effectExtent l="0" t="0" r="0" b="0"/>
                <wp:docPr id="710708389" name="Picture 71070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U_logo.png"/>
                        <pic:cNvPicPr/>
                      </pic:nvPicPr>
                      <pic:blipFill>
                        <a:blip r:embed="rId1"/>
                        <a:stretch>
                          <a:fillRect/>
                        </a:stretch>
                      </pic:blipFill>
                      <pic:spPr>
                        <a:xfrm>
                          <a:off x="0" y="0"/>
                          <a:ext cx="1530000" cy="382500"/>
                        </a:xfrm>
                        <a:prstGeom prst="rect">
                          <a:avLst/>
                        </a:prstGeom>
                      </pic:spPr>
                    </pic:pic>
                  </a:graphicData>
                </a:graphic>
              </wp:inline>
            </w:drawing>
          </w:r>
        </w:p>
      </w:tc>
      <w:tc>
        <w:tcPr>
          <w:tcW w:w="5017" w:type="dxa"/>
          <w:tcMar>
            <w:top w:w="0" w:type="dxa"/>
            <w:left w:w="0" w:type="dxa"/>
            <w:bottom w:w="0" w:type="dxa"/>
            <w:right w:w="0" w:type="dxa"/>
          </w:tcMar>
        </w:tcPr>
        <w:p w14:paraId="33350542" w14:textId="77777777" w:rsidR="009828A0" w:rsidRDefault="00E67449">
          <w:pPr>
            <w:spacing w:after="0"/>
            <w:jc w:val="right"/>
          </w:pPr>
          <w:r>
            <w:rPr>
              <w:b/>
              <w:color w:val="54616E"/>
              <w:sz w:val="16"/>
            </w:rPr>
            <w:t>UNIVERSITETERNES ARBEJDSMILJØKONFERENCE</w:t>
          </w:r>
        </w:p>
        <w:p w14:paraId="14178E5E" w14:textId="77777777" w:rsidR="009828A0" w:rsidRDefault="00E67449">
          <w:pPr>
            <w:spacing w:after="0"/>
            <w:jc w:val="right"/>
          </w:pPr>
          <w:r>
            <w:rPr>
              <w:color w:val="54616E"/>
              <w:sz w:val="17"/>
            </w:rPr>
            <w:t xml:space="preserve">4. </w:t>
          </w:r>
          <w:proofErr w:type="spellStart"/>
          <w:r>
            <w:rPr>
              <w:color w:val="54616E"/>
              <w:sz w:val="17"/>
            </w:rPr>
            <w:t>november</w:t>
          </w:r>
          <w:proofErr w:type="spellEnd"/>
          <w:r>
            <w:rPr>
              <w:color w:val="54616E"/>
              <w:sz w:val="17"/>
            </w:rPr>
            <w:t xml:space="preserve"> 2026  |  Session 1.2</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6559383">
    <w:abstractNumId w:val="8"/>
  </w:num>
  <w:num w:numId="2" w16cid:durableId="562526963">
    <w:abstractNumId w:val="6"/>
  </w:num>
  <w:num w:numId="3" w16cid:durableId="599341428">
    <w:abstractNumId w:val="5"/>
  </w:num>
  <w:num w:numId="4" w16cid:durableId="694892811">
    <w:abstractNumId w:val="4"/>
  </w:num>
  <w:num w:numId="5" w16cid:durableId="435441623">
    <w:abstractNumId w:val="7"/>
  </w:num>
  <w:num w:numId="6" w16cid:durableId="1219896642">
    <w:abstractNumId w:val="3"/>
  </w:num>
  <w:num w:numId="7" w16cid:durableId="1252276698">
    <w:abstractNumId w:val="2"/>
  </w:num>
  <w:num w:numId="8" w16cid:durableId="10880260">
    <w:abstractNumId w:val="1"/>
  </w:num>
  <w:num w:numId="9" w16cid:durableId="1772505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6894"/>
    <w:rsid w:val="0029639D"/>
    <w:rsid w:val="00326F90"/>
    <w:rsid w:val="00426412"/>
    <w:rsid w:val="00454462"/>
    <w:rsid w:val="004D4E98"/>
    <w:rsid w:val="0080028F"/>
    <w:rsid w:val="008A226A"/>
    <w:rsid w:val="009828A0"/>
    <w:rsid w:val="00AA1D8D"/>
    <w:rsid w:val="00B47730"/>
    <w:rsid w:val="00B653BE"/>
    <w:rsid w:val="00C87CFB"/>
    <w:rsid w:val="00CB0664"/>
    <w:rsid w:val="00E674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F389EBC-742F-4402-A3C8-19A88AEE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11A5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11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11A5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211A5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Normal</Template>
  <TotalTime>27</TotalTime>
  <Pages>1</Pages>
  <Words>283</Words>
  <Characters>1759</Characters>
  <Application>Microsoft Office Word</Application>
  <DocSecurity>0</DocSecurity>
  <Lines>38</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Acetone | Workshop-case 01 | To kopieringer</dc:title>
  <dc:subject>Workshop 1.2 | 4. november 2026 | Samlet arbejdsbeskrivelse</dc:subject>
  <dc:creator>Ann Cecilie Würtz, Jesper Søholm og Bjørn Baasch Bundgaard, Aalborg Universitet</dc:creator>
  <cp:keywords/>
  <dc:description>Version 6. Formuleringen "I testscenariet" er ændret til "Til den beskrevne arbejdsopgave", som i WD-40-case version 3. Øvrigt indhold og layout er uændret. Fiktivt oplæringsmateriale.</dc:description>
  <cp:lastModifiedBy>Ann Cecilie Schaffry Würtz</cp:lastModifiedBy>
  <cp:revision>6</cp:revision>
  <dcterms:created xsi:type="dcterms:W3CDTF">2013-12-23T23:15:00Z</dcterms:created>
  <dcterms:modified xsi:type="dcterms:W3CDTF">2026-10-29T22:02:00Z</dcterms:modified>
  <cp:category/>
</cp:coreProperties>
</file>